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7"/>
        <w:gridCol w:w="4475"/>
      </w:tblGrid>
      <w:tr>
        <w:trPr>
          <w:trHeight w:val="1511" w:hRule="atLeast"/>
        </w:trPr>
        <w:tc>
          <w:tcPr>
            <w:tcW w:w="5007" w:type="dxa"/>
          </w:tcPr>
          <w:p>
            <w:pPr>
              <w:pStyle w:val="TableParagraph"/>
              <w:spacing w:before="8"/>
              <w:rPr>
                <w:rFonts w:ascii="Times New Roman"/>
                <w:sz w:val="34"/>
              </w:rPr>
            </w:pPr>
          </w:p>
          <w:p>
            <w:pPr>
              <w:pStyle w:val="TableParagraph"/>
              <w:spacing w:before="1"/>
              <w:ind w:left="200"/>
              <w:rPr>
                <w:b/>
                <w:sz w:val="36"/>
              </w:rPr>
            </w:pPr>
            <w:r>
              <w:rPr>
                <w:b/>
                <w:sz w:val="36"/>
              </w:rPr>
              <w:t>Gemeinde Kaufungen</w:t>
            </w:r>
          </w:p>
          <w:p>
            <w:pPr>
              <w:pStyle w:val="TableParagraph"/>
              <w:spacing w:before="3"/>
              <w:ind w:left="667"/>
              <w:rPr>
                <w:b/>
                <w:sz w:val="24"/>
              </w:rPr>
            </w:pPr>
            <w:r>
              <w:rPr>
                <w:b/>
                <w:sz w:val="24"/>
              </w:rPr>
              <w:t>Der Gemeindevorstand</w:t>
            </w:r>
          </w:p>
        </w:tc>
        <w:tc>
          <w:tcPr>
            <w:tcW w:w="4475" w:type="dxa"/>
          </w:tcPr>
          <w:p>
            <w:pPr>
              <w:pStyle w:val="TableParagraph"/>
              <w:ind w:left="1188"/>
              <w:rPr>
                <w:rFonts w:ascii="Times New Roman"/>
                <w:sz w:val="20"/>
              </w:rPr>
            </w:pPr>
            <w:r>
              <w:rPr>
                <w:rFonts w:ascii="Times New Roman"/>
                <w:sz w:val="20"/>
              </w:rPr>
              <w:drawing>
                <wp:inline distT="0" distB="0" distL="0" distR="0">
                  <wp:extent cx="1891953" cy="825626"/>
                  <wp:effectExtent l="0" t="0" r="0" b="0"/>
                  <wp:docPr id="1" name="image1.jpeg" descr="kaufungen"/>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91953" cy="825626"/>
                          </a:xfrm>
                          <a:prstGeom prst="rect">
                            <a:avLst/>
                          </a:prstGeom>
                        </pic:spPr>
                      </pic:pic>
                    </a:graphicData>
                  </a:graphic>
                </wp:inline>
              </w:drawing>
            </w:r>
            <w:r>
              <w:rPr>
                <w:rFonts w:ascii="Times New Roman"/>
                <w:sz w:val="20"/>
              </w:rPr>
            </w:r>
          </w:p>
        </w:tc>
      </w:tr>
    </w:tbl>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84.984001pt;margin-top:104.222008pt;width:388.3pt;height:43.5pt;mso-position-horizontal-relative:page;mso-position-vertical-relative:page;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2"/>
                    <w:gridCol w:w="2049"/>
                    <w:gridCol w:w="1915"/>
                  </w:tblGrid>
                  <w:tr>
                    <w:trPr>
                      <w:trHeight w:val="579" w:hRule="atLeast"/>
                    </w:trPr>
                    <w:tc>
                      <w:tcPr>
                        <w:tcW w:w="3802" w:type="dxa"/>
                        <w:tcBorders>
                          <w:top w:val="single" w:sz="18" w:space="0" w:color="000000"/>
                        </w:tcBorders>
                      </w:tcPr>
                      <w:p>
                        <w:pPr>
                          <w:pStyle w:val="TableParagraph"/>
                          <w:spacing w:line="304" w:lineRule="exact" w:before="255"/>
                          <w:rPr>
                            <w:b/>
                            <w:sz w:val="28"/>
                          </w:rPr>
                        </w:pPr>
                        <w:r>
                          <w:rPr>
                            <w:b/>
                            <w:sz w:val="28"/>
                          </w:rPr>
                          <w:t>Beschlussvorlage</w:t>
                        </w:r>
                      </w:p>
                    </w:tc>
                    <w:tc>
                      <w:tcPr>
                        <w:tcW w:w="2049" w:type="dxa"/>
                      </w:tcPr>
                      <w:p>
                        <w:pPr>
                          <w:pStyle w:val="TableParagraph"/>
                          <w:rPr>
                            <w:sz w:val="22"/>
                          </w:rPr>
                        </w:pPr>
                      </w:p>
                      <w:p>
                        <w:pPr>
                          <w:pStyle w:val="TableParagraph"/>
                          <w:ind w:left="592"/>
                          <w:rPr>
                            <w:b/>
                            <w:sz w:val="22"/>
                          </w:rPr>
                        </w:pPr>
                        <w:r>
                          <w:rPr>
                            <w:b/>
                            <w:sz w:val="22"/>
                          </w:rPr>
                          <w:t>Nummer</w:t>
                        </w:r>
                      </w:p>
                    </w:tc>
                    <w:tc>
                      <w:tcPr>
                        <w:tcW w:w="1915" w:type="dxa"/>
                      </w:tcPr>
                      <w:p>
                        <w:pPr>
                          <w:pStyle w:val="TableParagraph"/>
                          <w:spacing w:line="304" w:lineRule="exact" w:before="255"/>
                          <w:ind w:left="387"/>
                          <w:rPr>
                            <w:b/>
                            <w:sz w:val="28"/>
                          </w:rPr>
                        </w:pPr>
                        <w:r>
                          <w:rPr>
                            <w:b/>
                            <w:sz w:val="28"/>
                          </w:rPr>
                          <w:t>0198/2021</w:t>
                        </w:r>
                      </w:p>
                    </w:tc>
                  </w:tr>
                  <w:tr>
                    <w:trPr>
                      <w:trHeight w:val="251" w:hRule="atLeast"/>
                    </w:trPr>
                    <w:tc>
                      <w:tcPr>
                        <w:tcW w:w="3802" w:type="dxa"/>
                      </w:tcPr>
                      <w:p>
                        <w:pPr>
                          <w:pStyle w:val="TableParagraph"/>
                          <w:rPr>
                            <w:rFonts w:ascii="Times New Roman"/>
                            <w:sz w:val="18"/>
                          </w:rPr>
                        </w:pPr>
                      </w:p>
                    </w:tc>
                    <w:tc>
                      <w:tcPr>
                        <w:tcW w:w="2049" w:type="dxa"/>
                      </w:tcPr>
                      <w:p>
                        <w:pPr>
                          <w:pStyle w:val="TableParagraph"/>
                          <w:spacing w:line="231" w:lineRule="exact"/>
                          <w:ind w:left="592"/>
                          <w:rPr>
                            <w:sz w:val="22"/>
                          </w:rPr>
                        </w:pPr>
                        <w:r>
                          <w:rPr>
                            <w:sz w:val="22"/>
                          </w:rPr>
                          <w:t>Kaufungen</w:t>
                        </w:r>
                      </w:p>
                    </w:tc>
                    <w:tc>
                      <w:tcPr>
                        <w:tcW w:w="1915" w:type="dxa"/>
                      </w:tcPr>
                      <w:p>
                        <w:pPr>
                          <w:pStyle w:val="TableParagraph"/>
                          <w:spacing w:line="231" w:lineRule="exact"/>
                          <w:ind w:left="387"/>
                          <w:rPr>
                            <w:b/>
                            <w:sz w:val="22"/>
                          </w:rPr>
                        </w:pPr>
                        <w:r>
                          <w:rPr>
                            <w:b/>
                            <w:sz w:val="22"/>
                          </w:rPr>
                          <w:t>09.09.2021</w:t>
                        </w: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24"/>
        </w:rPr>
      </w:pPr>
    </w:p>
    <w:tbl>
      <w:tblPr>
        <w:tblW w:w="0" w:type="auto"/>
        <w:jc w:val="left"/>
        <w:tblInd w:w="477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0" w:type="dxa"/>
          <w:left w:w="0" w:type="dxa"/>
          <w:bottom w:w="0" w:type="dxa"/>
          <w:right w:w="0" w:type="dxa"/>
        </w:tblCellMar>
        <w:tblLook w:val="01E0"/>
      </w:tblPr>
      <w:tblGrid>
        <w:gridCol w:w="1844"/>
        <w:gridCol w:w="2977"/>
      </w:tblGrid>
      <w:tr>
        <w:trPr>
          <w:trHeight w:val="255" w:hRule="atLeast"/>
        </w:trPr>
        <w:tc>
          <w:tcPr>
            <w:tcW w:w="1844" w:type="dxa"/>
            <w:vMerge w:val="restart"/>
            <w:tcBorders>
              <w:bottom w:val="single" w:sz="6" w:space="0" w:color="808080"/>
              <w:right w:val="single" w:sz="6" w:space="0" w:color="808080"/>
            </w:tcBorders>
            <w:shd w:val="clear" w:color="auto" w:fill="E4E4E4"/>
          </w:tcPr>
          <w:p>
            <w:pPr>
              <w:pStyle w:val="TableParagraph"/>
              <w:spacing w:line="250" w:lineRule="exact"/>
              <w:ind w:left="68"/>
              <w:rPr>
                <w:b/>
                <w:sz w:val="22"/>
              </w:rPr>
            </w:pPr>
            <w:r>
              <w:rPr>
                <w:b/>
                <w:sz w:val="22"/>
              </w:rPr>
              <w:t>Amt</w:t>
            </w:r>
          </w:p>
        </w:tc>
        <w:tc>
          <w:tcPr>
            <w:tcW w:w="2977" w:type="dxa"/>
            <w:tcBorders>
              <w:left w:val="single" w:sz="6" w:space="0" w:color="808080"/>
              <w:bottom w:val="single" w:sz="6" w:space="0" w:color="808080"/>
            </w:tcBorders>
          </w:tcPr>
          <w:p>
            <w:pPr>
              <w:pStyle w:val="TableParagraph"/>
              <w:spacing w:line="236" w:lineRule="exact"/>
              <w:ind w:left="83"/>
              <w:rPr>
                <w:b/>
                <w:sz w:val="22"/>
              </w:rPr>
            </w:pPr>
            <w:r>
              <w:rPr>
                <w:b/>
                <w:sz w:val="22"/>
              </w:rPr>
              <w:t>Bauamt</w:t>
            </w:r>
          </w:p>
        </w:tc>
      </w:tr>
      <w:tr>
        <w:trPr>
          <w:trHeight w:val="253" w:hRule="atLeast"/>
        </w:trPr>
        <w:tc>
          <w:tcPr>
            <w:tcW w:w="1844" w:type="dxa"/>
            <w:vMerge/>
            <w:tcBorders>
              <w:top w:val="nil"/>
              <w:bottom w:val="single" w:sz="6" w:space="0" w:color="808080"/>
              <w:right w:val="single" w:sz="6" w:space="0" w:color="808080"/>
            </w:tcBorders>
            <w:shd w:val="clear" w:color="auto" w:fill="E4E4E4"/>
          </w:tcPr>
          <w:p>
            <w:pPr>
              <w:rPr>
                <w:sz w:val="2"/>
                <w:szCs w:val="2"/>
              </w:rPr>
            </w:pPr>
          </w:p>
        </w:tc>
        <w:tc>
          <w:tcPr>
            <w:tcW w:w="2977" w:type="dxa"/>
            <w:tcBorders>
              <w:top w:val="single" w:sz="6" w:space="0" w:color="808080"/>
              <w:left w:val="single" w:sz="6" w:space="0" w:color="808080"/>
              <w:bottom w:val="single" w:sz="6" w:space="0" w:color="808080"/>
            </w:tcBorders>
          </w:tcPr>
          <w:p>
            <w:pPr>
              <w:pStyle w:val="TableParagraph"/>
              <w:rPr>
                <w:rFonts w:ascii="Times New Roman"/>
                <w:sz w:val="18"/>
              </w:rPr>
            </w:pPr>
          </w:p>
        </w:tc>
      </w:tr>
      <w:tr>
        <w:trPr>
          <w:trHeight w:val="255" w:hRule="atLeast"/>
        </w:trPr>
        <w:tc>
          <w:tcPr>
            <w:tcW w:w="1844" w:type="dxa"/>
            <w:tcBorders>
              <w:top w:val="single" w:sz="6" w:space="0" w:color="808080"/>
              <w:right w:val="single" w:sz="6" w:space="0" w:color="808080"/>
            </w:tcBorders>
          </w:tcPr>
          <w:p>
            <w:pPr>
              <w:pStyle w:val="TableParagraph"/>
              <w:rPr>
                <w:rFonts w:ascii="Times New Roman"/>
                <w:sz w:val="18"/>
              </w:rPr>
            </w:pPr>
          </w:p>
        </w:tc>
        <w:tc>
          <w:tcPr>
            <w:tcW w:w="2977" w:type="dxa"/>
            <w:tcBorders>
              <w:top w:val="single" w:sz="6" w:space="0" w:color="808080"/>
              <w:left w:val="single" w:sz="6" w:space="0" w:color="808080"/>
            </w:tcBorders>
          </w:tcPr>
          <w:p>
            <w:pPr>
              <w:pStyle w:val="TableParagraph"/>
              <w:spacing w:line="236" w:lineRule="exact"/>
              <w:ind w:left="83"/>
              <w:rPr>
                <w:b/>
                <w:sz w:val="22"/>
              </w:rPr>
            </w:pPr>
            <w:r>
              <w:rPr>
                <w:b/>
                <w:sz w:val="22"/>
              </w:rPr>
              <w:t>Grulms-Odoj, Eva</w:t>
            </w:r>
          </w:p>
        </w:tc>
      </w:tr>
    </w:tbl>
    <w:p>
      <w:pPr>
        <w:pStyle w:val="BodyText"/>
        <w:spacing w:before="10"/>
        <w:rPr>
          <w:rFonts w:ascii="Times New Roman"/>
          <w:sz w:val="21"/>
        </w:rPr>
      </w:pPr>
    </w:p>
    <w:tbl>
      <w:tblPr>
        <w:tblW w:w="0" w:type="auto"/>
        <w:jc w:val="left"/>
        <w:tblInd w:w="166"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0" w:type="dxa"/>
          <w:left w:w="0" w:type="dxa"/>
          <w:bottom w:w="0" w:type="dxa"/>
          <w:right w:w="0" w:type="dxa"/>
        </w:tblCellMar>
        <w:tblLook w:val="01E0"/>
      </w:tblPr>
      <w:tblGrid>
        <w:gridCol w:w="4210"/>
        <w:gridCol w:w="1260"/>
        <w:gridCol w:w="1620"/>
        <w:gridCol w:w="2405"/>
      </w:tblGrid>
      <w:tr>
        <w:trPr>
          <w:trHeight w:val="507" w:hRule="atLeast"/>
        </w:trPr>
        <w:tc>
          <w:tcPr>
            <w:tcW w:w="4210" w:type="dxa"/>
            <w:tcBorders>
              <w:bottom w:val="single" w:sz="6" w:space="0" w:color="808080"/>
              <w:right w:val="single" w:sz="6" w:space="0" w:color="808080"/>
            </w:tcBorders>
          </w:tcPr>
          <w:p>
            <w:pPr>
              <w:pStyle w:val="TableParagraph"/>
              <w:spacing w:line="252" w:lineRule="exact"/>
              <w:ind w:left="68"/>
              <w:rPr>
                <w:sz w:val="22"/>
              </w:rPr>
            </w:pPr>
            <w:r>
              <w:rPr>
                <w:sz w:val="22"/>
              </w:rPr>
              <w:t>Beratungsfolge</w:t>
            </w:r>
          </w:p>
        </w:tc>
        <w:tc>
          <w:tcPr>
            <w:tcW w:w="1260" w:type="dxa"/>
            <w:tcBorders>
              <w:left w:val="single" w:sz="6" w:space="0" w:color="808080"/>
              <w:bottom w:val="single" w:sz="6" w:space="0" w:color="808080"/>
              <w:right w:val="single" w:sz="6" w:space="0" w:color="808080"/>
            </w:tcBorders>
          </w:tcPr>
          <w:p>
            <w:pPr>
              <w:pStyle w:val="TableParagraph"/>
              <w:spacing w:line="252" w:lineRule="exact"/>
              <w:ind w:left="83"/>
              <w:rPr>
                <w:sz w:val="22"/>
              </w:rPr>
            </w:pPr>
            <w:r>
              <w:rPr>
                <w:sz w:val="22"/>
              </w:rPr>
              <w:t>Termin</w:t>
            </w:r>
          </w:p>
        </w:tc>
        <w:tc>
          <w:tcPr>
            <w:tcW w:w="1620" w:type="dxa"/>
            <w:tcBorders>
              <w:left w:val="single" w:sz="6" w:space="0" w:color="808080"/>
              <w:bottom w:val="single" w:sz="6" w:space="0" w:color="808080"/>
              <w:right w:val="single" w:sz="6" w:space="0" w:color="808080"/>
            </w:tcBorders>
          </w:tcPr>
          <w:p>
            <w:pPr>
              <w:pStyle w:val="TableParagraph"/>
              <w:spacing w:line="252" w:lineRule="exact"/>
              <w:ind w:left="84"/>
              <w:rPr>
                <w:sz w:val="22"/>
              </w:rPr>
            </w:pPr>
            <w:r>
              <w:rPr>
                <w:sz w:val="22"/>
              </w:rPr>
              <w:t>Status</w:t>
            </w:r>
          </w:p>
        </w:tc>
        <w:tc>
          <w:tcPr>
            <w:tcW w:w="2405" w:type="dxa"/>
            <w:tcBorders>
              <w:left w:val="single" w:sz="6" w:space="0" w:color="808080"/>
              <w:bottom w:val="single" w:sz="6" w:space="0" w:color="808080"/>
            </w:tcBorders>
          </w:tcPr>
          <w:p>
            <w:pPr>
              <w:pStyle w:val="TableParagraph"/>
              <w:spacing w:line="252" w:lineRule="exact"/>
              <w:ind w:left="84"/>
              <w:rPr>
                <w:sz w:val="22"/>
              </w:rPr>
            </w:pPr>
            <w:r>
              <w:rPr>
                <w:sz w:val="22"/>
              </w:rPr>
              <w:t>Abstimmung</w:t>
            </w:r>
          </w:p>
          <w:p>
            <w:pPr>
              <w:pStyle w:val="TableParagraph"/>
              <w:spacing w:line="236" w:lineRule="exact"/>
              <w:ind w:left="84"/>
              <w:rPr>
                <w:sz w:val="22"/>
              </w:rPr>
            </w:pPr>
            <w:r>
              <w:rPr>
                <w:sz w:val="22"/>
              </w:rPr>
              <w:t>anw. / ja / nein / Enth.</w:t>
            </w:r>
          </w:p>
        </w:tc>
      </w:tr>
      <w:tr>
        <w:trPr>
          <w:trHeight w:val="506" w:hRule="atLeast"/>
        </w:trPr>
        <w:tc>
          <w:tcPr>
            <w:tcW w:w="4210" w:type="dxa"/>
            <w:tcBorders>
              <w:top w:val="single" w:sz="6" w:space="0" w:color="808080"/>
              <w:bottom w:val="single" w:sz="6" w:space="0" w:color="808080"/>
              <w:right w:val="single" w:sz="6" w:space="0" w:color="808080"/>
            </w:tcBorders>
          </w:tcPr>
          <w:p>
            <w:pPr>
              <w:pStyle w:val="TableParagraph"/>
              <w:spacing w:line="250" w:lineRule="exact"/>
              <w:ind w:left="68"/>
              <w:rPr>
                <w:sz w:val="22"/>
              </w:rPr>
            </w:pPr>
            <w:r>
              <w:rPr>
                <w:sz w:val="22"/>
              </w:rPr>
              <w:t>Gemeindevorstand</w:t>
            </w:r>
          </w:p>
        </w:tc>
        <w:tc>
          <w:tcPr>
            <w:tcW w:w="1260" w:type="dxa"/>
            <w:tcBorders>
              <w:top w:val="single" w:sz="6" w:space="0" w:color="808080"/>
              <w:left w:val="single" w:sz="6" w:space="0" w:color="808080"/>
              <w:bottom w:val="single" w:sz="6" w:space="0" w:color="808080"/>
              <w:right w:val="single" w:sz="6" w:space="0" w:color="808080"/>
            </w:tcBorders>
          </w:tcPr>
          <w:p>
            <w:pPr>
              <w:pStyle w:val="TableParagraph"/>
              <w:spacing w:line="250" w:lineRule="exact"/>
              <w:ind w:left="83"/>
              <w:rPr>
                <w:sz w:val="22"/>
              </w:rPr>
            </w:pPr>
            <w:r>
              <w:rPr>
                <w:sz w:val="22"/>
              </w:rPr>
              <w:t>13.09.2021</w:t>
            </w:r>
          </w:p>
        </w:tc>
        <w:tc>
          <w:tcPr>
            <w:tcW w:w="1620" w:type="dxa"/>
            <w:tcBorders>
              <w:top w:val="single" w:sz="6" w:space="0" w:color="808080"/>
              <w:left w:val="single" w:sz="6" w:space="0" w:color="808080"/>
              <w:bottom w:val="single" w:sz="6" w:space="0" w:color="808080"/>
              <w:right w:val="single" w:sz="6" w:space="0" w:color="808080"/>
            </w:tcBorders>
          </w:tcPr>
          <w:p>
            <w:pPr>
              <w:pStyle w:val="TableParagraph"/>
              <w:spacing w:line="252" w:lineRule="exact" w:before="2"/>
              <w:ind w:left="84" w:right="155"/>
              <w:rPr>
                <w:sz w:val="22"/>
              </w:rPr>
            </w:pPr>
            <w:r>
              <w:rPr>
                <w:sz w:val="22"/>
              </w:rPr>
              <w:t>nichtöffentlich beschließend</w:t>
            </w:r>
          </w:p>
        </w:tc>
        <w:tc>
          <w:tcPr>
            <w:tcW w:w="2405" w:type="dxa"/>
            <w:tcBorders>
              <w:top w:val="single" w:sz="6" w:space="0" w:color="808080"/>
              <w:left w:val="single" w:sz="6" w:space="0" w:color="808080"/>
              <w:bottom w:val="single" w:sz="6" w:space="0" w:color="808080"/>
            </w:tcBorders>
          </w:tcPr>
          <w:p>
            <w:pPr>
              <w:pStyle w:val="TableParagraph"/>
              <w:rPr>
                <w:rFonts w:ascii="Times New Roman"/>
                <w:sz w:val="22"/>
              </w:rPr>
            </w:pPr>
          </w:p>
        </w:tc>
      </w:tr>
      <w:tr>
        <w:trPr>
          <w:trHeight w:val="506" w:hRule="atLeast"/>
        </w:trPr>
        <w:tc>
          <w:tcPr>
            <w:tcW w:w="4210" w:type="dxa"/>
            <w:tcBorders>
              <w:top w:val="single" w:sz="6" w:space="0" w:color="808080"/>
              <w:bottom w:val="single" w:sz="6" w:space="0" w:color="808080"/>
              <w:right w:val="single" w:sz="6" w:space="0" w:color="808080"/>
            </w:tcBorders>
          </w:tcPr>
          <w:p>
            <w:pPr>
              <w:pStyle w:val="TableParagraph"/>
              <w:spacing w:line="252" w:lineRule="exact" w:before="2"/>
              <w:ind w:left="68" w:right="337"/>
              <w:rPr>
                <w:sz w:val="22"/>
              </w:rPr>
            </w:pPr>
            <w:r>
              <w:rPr>
                <w:sz w:val="22"/>
              </w:rPr>
              <w:t>Ausschuss Bauen-Planen-Umwelt und Energie</w:t>
            </w:r>
          </w:p>
        </w:tc>
        <w:tc>
          <w:tcPr>
            <w:tcW w:w="1260" w:type="dxa"/>
            <w:tcBorders>
              <w:top w:val="single" w:sz="6" w:space="0" w:color="808080"/>
              <w:left w:val="single" w:sz="6" w:space="0" w:color="808080"/>
              <w:bottom w:val="single" w:sz="6" w:space="0" w:color="808080"/>
              <w:right w:val="single" w:sz="6" w:space="0" w:color="808080"/>
            </w:tcBorders>
          </w:tcPr>
          <w:p>
            <w:pPr>
              <w:pStyle w:val="TableParagraph"/>
              <w:spacing w:line="251" w:lineRule="exact"/>
              <w:ind w:left="83"/>
              <w:rPr>
                <w:sz w:val="22"/>
              </w:rPr>
            </w:pPr>
            <w:r>
              <w:rPr>
                <w:sz w:val="22"/>
              </w:rPr>
              <w:t>27.09.2021</w:t>
            </w:r>
          </w:p>
        </w:tc>
        <w:tc>
          <w:tcPr>
            <w:tcW w:w="1620" w:type="dxa"/>
            <w:tcBorders>
              <w:top w:val="single" w:sz="6" w:space="0" w:color="808080"/>
              <w:left w:val="single" w:sz="6" w:space="0" w:color="808080"/>
              <w:bottom w:val="single" w:sz="6" w:space="0" w:color="808080"/>
              <w:right w:val="single" w:sz="6" w:space="0" w:color="808080"/>
            </w:tcBorders>
          </w:tcPr>
          <w:p>
            <w:pPr>
              <w:pStyle w:val="TableParagraph"/>
              <w:spacing w:line="252" w:lineRule="exact" w:before="2"/>
              <w:ind w:left="84" w:right="326"/>
              <w:rPr>
                <w:sz w:val="22"/>
              </w:rPr>
            </w:pPr>
            <w:r>
              <w:rPr>
                <w:sz w:val="22"/>
              </w:rPr>
              <w:t>öffentlich vorberatend</w:t>
            </w:r>
          </w:p>
        </w:tc>
        <w:tc>
          <w:tcPr>
            <w:tcW w:w="2405" w:type="dxa"/>
            <w:tcBorders>
              <w:top w:val="single" w:sz="6" w:space="0" w:color="808080"/>
              <w:left w:val="single" w:sz="6" w:space="0" w:color="808080"/>
              <w:bottom w:val="single" w:sz="6" w:space="0" w:color="808080"/>
            </w:tcBorders>
          </w:tcPr>
          <w:p>
            <w:pPr>
              <w:pStyle w:val="TableParagraph"/>
              <w:rPr>
                <w:rFonts w:ascii="Times New Roman"/>
                <w:sz w:val="22"/>
              </w:rPr>
            </w:pPr>
          </w:p>
        </w:tc>
      </w:tr>
      <w:tr>
        <w:trPr>
          <w:trHeight w:val="507" w:hRule="atLeast"/>
        </w:trPr>
        <w:tc>
          <w:tcPr>
            <w:tcW w:w="4210" w:type="dxa"/>
            <w:tcBorders>
              <w:top w:val="single" w:sz="6" w:space="0" w:color="808080"/>
              <w:right w:val="single" w:sz="6" w:space="0" w:color="808080"/>
            </w:tcBorders>
          </w:tcPr>
          <w:p>
            <w:pPr>
              <w:pStyle w:val="TableParagraph"/>
              <w:spacing w:line="250" w:lineRule="exact"/>
              <w:ind w:left="68"/>
              <w:rPr>
                <w:sz w:val="22"/>
              </w:rPr>
            </w:pPr>
            <w:r>
              <w:rPr>
                <w:sz w:val="22"/>
              </w:rPr>
              <w:t>Gemeindevertretung</w:t>
            </w:r>
          </w:p>
        </w:tc>
        <w:tc>
          <w:tcPr>
            <w:tcW w:w="1260" w:type="dxa"/>
            <w:tcBorders>
              <w:top w:val="single" w:sz="6" w:space="0" w:color="808080"/>
              <w:left w:val="single" w:sz="6" w:space="0" w:color="808080"/>
              <w:right w:val="single" w:sz="6" w:space="0" w:color="808080"/>
            </w:tcBorders>
          </w:tcPr>
          <w:p>
            <w:pPr>
              <w:pStyle w:val="TableParagraph"/>
              <w:spacing w:line="250" w:lineRule="exact"/>
              <w:ind w:left="83"/>
              <w:rPr>
                <w:sz w:val="22"/>
              </w:rPr>
            </w:pPr>
            <w:r>
              <w:rPr>
                <w:sz w:val="22"/>
              </w:rPr>
              <w:t>07.10.2021</w:t>
            </w:r>
          </w:p>
        </w:tc>
        <w:tc>
          <w:tcPr>
            <w:tcW w:w="1620" w:type="dxa"/>
            <w:tcBorders>
              <w:top w:val="single" w:sz="6" w:space="0" w:color="808080"/>
              <w:left w:val="single" w:sz="6" w:space="0" w:color="808080"/>
              <w:right w:val="single" w:sz="6" w:space="0" w:color="808080"/>
            </w:tcBorders>
          </w:tcPr>
          <w:p>
            <w:pPr>
              <w:pStyle w:val="TableParagraph"/>
              <w:spacing w:line="252" w:lineRule="exact" w:before="2"/>
              <w:ind w:left="84" w:right="192"/>
              <w:rPr>
                <w:sz w:val="22"/>
              </w:rPr>
            </w:pPr>
            <w:r>
              <w:rPr>
                <w:sz w:val="22"/>
              </w:rPr>
              <w:t>öffentlich beschließend</w:t>
            </w:r>
          </w:p>
        </w:tc>
        <w:tc>
          <w:tcPr>
            <w:tcW w:w="2405" w:type="dxa"/>
            <w:tcBorders>
              <w:top w:val="single" w:sz="6" w:space="0" w:color="808080"/>
              <w:left w:val="single" w:sz="6" w:space="0" w:color="808080"/>
            </w:tcBorders>
          </w:tcPr>
          <w:p>
            <w:pPr>
              <w:pStyle w:val="TableParagraph"/>
              <w:rPr>
                <w:rFonts w:ascii="Times New Roman"/>
                <w:sz w:val="22"/>
              </w:rPr>
            </w:pPr>
          </w:p>
        </w:tc>
      </w:tr>
    </w:tbl>
    <w:p>
      <w:pPr>
        <w:pStyle w:val="BodyText"/>
        <w:spacing w:before="4"/>
        <w:rPr>
          <w:rFonts w:ascii="Times New Roman"/>
          <w:sz w:val="13"/>
        </w:rPr>
      </w:pPr>
    </w:p>
    <w:p>
      <w:pPr>
        <w:pStyle w:val="Heading1"/>
        <w:spacing w:before="93"/>
        <w:rPr>
          <w:u w:val="none"/>
        </w:rPr>
      </w:pPr>
      <w:r>
        <w:rPr>
          <w:u w:val="thick"/>
        </w:rPr>
        <w:t>Betrifft:</w:t>
      </w:r>
    </w:p>
    <w:p>
      <w:pPr>
        <w:pStyle w:val="BodyText"/>
        <w:spacing w:before="2"/>
        <w:ind w:left="118"/>
      </w:pPr>
      <w:r>
        <w:rPr/>
        <w:t>Vorhabenbezogener Bebauungsplan Nr.97 "Stiftsgut"</w:t>
      </w:r>
    </w:p>
    <w:p>
      <w:pPr>
        <w:pStyle w:val="BodyText"/>
        <w:spacing w:line="252" w:lineRule="exact" w:before="1"/>
        <w:ind w:left="118"/>
      </w:pPr>
      <w:r>
        <w:rPr/>
        <w:t>Bauleitplanverfahren nach § 13 a Baugesetzbuch – Bebauungspläne der Innenentwicklung</w:t>
      </w:r>
    </w:p>
    <w:p>
      <w:pPr>
        <w:pStyle w:val="ListParagraph"/>
        <w:numPr>
          <w:ilvl w:val="0"/>
          <w:numId w:val="1"/>
        </w:numPr>
        <w:tabs>
          <w:tab w:pos="378" w:val="left" w:leader="none"/>
        </w:tabs>
        <w:spacing w:line="240" w:lineRule="auto" w:before="0" w:after="0"/>
        <w:ind w:left="118" w:right="573" w:firstLine="0"/>
        <w:jc w:val="left"/>
        <w:rPr>
          <w:sz w:val="22"/>
        </w:rPr>
      </w:pPr>
      <w:r>
        <w:rPr>
          <w:sz w:val="22"/>
        </w:rPr>
        <w:t>Beratung und Beschlussfassung über die eingegangenen Anregungen und Bedenken im Rahmen der frühzeitigen Beteiligung der Öffentlichkeit gem. § 3 (1) Baugesetz-buch (BauGB) und der Behörden gem. § 4 (1)</w:t>
      </w:r>
      <w:r>
        <w:rPr>
          <w:spacing w:val="-9"/>
          <w:sz w:val="22"/>
        </w:rPr>
        <w:t> </w:t>
      </w:r>
      <w:r>
        <w:rPr>
          <w:sz w:val="22"/>
        </w:rPr>
        <w:t>BauGB</w:t>
      </w:r>
    </w:p>
    <w:p>
      <w:pPr>
        <w:pStyle w:val="ListParagraph"/>
        <w:numPr>
          <w:ilvl w:val="0"/>
          <w:numId w:val="1"/>
        </w:numPr>
        <w:tabs>
          <w:tab w:pos="378" w:val="left" w:leader="none"/>
        </w:tabs>
        <w:spacing w:line="240" w:lineRule="auto" w:before="2" w:after="0"/>
        <w:ind w:left="118" w:right="370" w:firstLine="0"/>
        <w:jc w:val="left"/>
        <w:rPr>
          <w:sz w:val="22"/>
        </w:rPr>
      </w:pPr>
      <w:r>
        <w:rPr>
          <w:sz w:val="22"/>
        </w:rPr>
        <w:t>Beteiligung der Behörden gem. § 4 (2) BauGB und Beteiligung der Öffentlichkeit gem. § 3 (2) BauGB</w:t>
      </w:r>
    </w:p>
    <w:p>
      <w:pPr>
        <w:pStyle w:val="BodyText"/>
        <w:spacing w:before="8"/>
        <w:rPr>
          <w:sz w:val="21"/>
        </w:rPr>
      </w:pPr>
    </w:p>
    <w:p>
      <w:pPr>
        <w:pStyle w:val="Heading1"/>
        <w:spacing w:before="1"/>
        <w:rPr>
          <w:u w:val="none"/>
        </w:rPr>
      </w:pPr>
      <w:r>
        <w:rPr>
          <w:u w:val="thick"/>
        </w:rPr>
        <w:t>Beschlussempfehlung:</w:t>
      </w:r>
    </w:p>
    <w:p>
      <w:pPr>
        <w:pStyle w:val="ListParagraph"/>
        <w:numPr>
          <w:ilvl w:val="0"/>
          <w:numId w:val="2"/>
        </w:numPr>
        <w:tabs>
          <w:tab w:pos="824" w:val="left" w:leader="none"/>
          <w:tab w:pos="825" w:val="left" w:leader="none"/>
        </w:tabs>
        <w:spacing w:line="240" w:lineRule="auto" w:before="1" w:after="0"/>
        <w:ind w:left="824" w:right="308" w:hanging="706"/>
        <w:jc w:val="left"/>
        <w:rPr>
          <w:sz w:val="22"/>
        </w:rPr>
      </w:pPr>
      <w:r>
        <w:rPr>
          <w:sz w:val="22"/>
        </w:rPr>
        <w:t>Die Gemeindevertretung nimmt das Ergebnis der öffentlichen Auslegung (04.10.2019 bis 01.11.2019) gem. § 3 (1) BauGB und der Beteiligung der Träger öffentlicher Belange gem. § 4 (1) BauGB zur Kenntnis. Die Abwägungsvorschläge zu den vorgebrachten Anregungen werden</w:t>
      </w:r>
      <w:r>
        <w:rPr>
          <w:spacing w:val="-3"/>
          <w:sz w:val="22"/>
        </w:rPr>
        <w:t> </w:t>
      </w:r>
      <w:r>
        <w:rPr>
          <w:sz w:val="22"/>
        </w:rPr>
        <w:t>beschlossen.</w:t>
      </w:r>
    </w:p>
    <w:p>
      <w:pPr>
        <w:pStyle w:val="BodyText"/>
      </w:pPr>
    </w:p>
    <w:p>
      <w:pPr>
        <w:pStyle w:val="BodyText"/>
        <w:ind w:left="824" w:right="385"/>
      </w:pPr>
      <w:r>
        <w:rPr/>
        <w:t>Der vorliegende Entwurf des vorhabenbezogenen Bebauungsplanes Nr. 97 „Stiftsgut“ in der Fassung vom 27.August 2021 wird beschlossen, die Begründung wird gebilligt.</w:t>
      </w:r>
    </w:p>
    <w:p>
      <w:pPr>
        <w:pStyle w:val="BodyText"/>
        <w:spacing w:before="10"/>
        <w:rPr>
          <w:sz w:val="20"/>
        </w:rPr>
      </w:pPr>
    </w:p>
    <w:p>
      <w:pPr>
        <w:pStyle w:val="ListParagraph"/>
        <w:numPr>
          <w:ilvl w:val="0"/>
          <w:numId w:val="2"/>
        </w:numPr>
        <w:tabs>
          <w:tab w:pos="824" w:val="left" w:leader="none"/>
          <w:tab w:pos="825" w:val="left" w:leader="none"/>
        </w:tabs>
        <w:spacing w:line="240" w:lineRule="auto" w:before="0" w:after="0"/>
        <w:ind w:left="824" w:right="1888" w:hanging="706"/>
        <w:jc w:val="left"/>
        <w:rPr>
          <w:sz w:val="22"/>
        </w:rPr>
      </w:pPr>
      <w:r>
        <w:rPr>
          <w:sz w:val="22"/>
        </w:rPr>
        <w:t>Der Entwurf in der Fassung vom 27. August 2021 ist auszulegen und die Stellungnahmen sind</w:t>
      </w:r>
      <w:r>
        <w:rPr>
          <w:spacing w:val="-3"/>
          <w:sz w:val="22"/>
        </w:rPr>
        <w:t> </w:t>
      </w:r>
      <w:r>
        <w:rPr>
          <w:sz w:val="22"/>
        </w:rPr>
        <w:t>einzuholen.</w:t>
      </w:r>
    </w:p>
    <w:p>
      <w:pPr>
        <w:pStyle w:val="BodyText"/>
        <w:spacing w:before="9"/>
        <w:rPr>
          <w:sz w:val="21"/>
        </w:rPr>
      </w:pPr>
    </w:p>
    <w:p>
      <w:pPr>
        <w:pStyle w:val="Heading1"/>
        <w:rPr>
          <w:u w:val="none"/>
        </w:rPr>
      </w:pPr>
      <w:r>
        <w:rPr>
          <w:u w:val="thick"/>
        </w:rPr>
        <w:t>Begründung:</w:t>
      </w:r>
    </w:p>
    <w:p>
      <w:pPr>
        <w:pStyle w:val="BodyText"/>
        <w:spacing w:before="4"/>
        <w:ind w:left="118" w:right="430"/>
      </w:pPr>
      <w:r>
        <w:rPr/>
        <w:t>Am 19.09.2019 hat die Gemeindevertretung der Gemeinde Kaufungen den Aufstellungsbeschluss für den vorhabenbezogenen Bebauungsplan Nr. 97 „Stiftsgut“ gefasst und die frühzeitige Beteiligung der Bürger und der Behörden beschlossen. Der Vorentwurf des Bebauungsplanes lag in der Zeit vom 04 10.2019 bis einschließlich 01.11.2019 öffentlich aus. Die Beteiligung der Behörden und sonstigen Träger öffentlicher Belange erfolgte mit Schreiben vom 01.10.2019. die Abwägung der eingegangenen Stellungnahmen liegt dieser Beschlussvorlage bei und wird beschlossen.</w:t>
      </w:r>
    </w:p>
    <w:p>
      <w:pPr>
        <w:pStyle w:val="BodyText"/>
        <w:rPr>
          <w:sz w:val="24"/>
        </w:rPr>
      </w:pPr>
    </w:p>
    <w:p>
      <w:pPr>
        <w:pStyle w:val="BodyText"/>
        <w:rPr>
          <w:sz w:val="24"/>
        </w:rPr>
      </w:pPr>
    </w:p>
    <w:p>
      <w:pPr>
        <w:pStyle w:val="BodyText"/>
        <w:rPr>
          <w:sz w:val="24"/>
        </w:rPr>
      </w:pPr>
    </w:p>
    <w:p>
      <w:pPr>
        <w:pStyle w:val="BodyText"/>
        <w:spacing w:before="171"/>
        <w:ind w:left="4644" w:right="4837"/>
        <w:jc w:val="center"/>
      </w:pPr>
      <w:r>
        <w:rPr/>
        <w:t>-2-</w:t>
      </w:r>
    </w:p>
    <w:p>
      <w:pPr>
        <w:spacing w:after="0"/>
        <w:jc w:val="center"/>
        <w:sectPr>
          <w:type w:val="continuous"/>
          <w:pgSz w:w="11910" w:h="16840"/>
          <w:pgMar w:top="600" w:bottom="280" w:left="1300" w:right="820"/>
        </w:sectPr>
      </w:pPr>
    </w:p>
    <w:p>
      <w:pPr>
        <w:pStyle w:val="BodyText"/>
        <w:spacing w:before="69"/>
        <w:ind w:left="4644" w:right="4837"/>
        <w:jc w:val="center"/>
      </w:pPr>
      <w:r>
        <w:rPr/>
        <w:t>-2-</w:t>
      </w:r>
    </w:p>
    <w:p>
      <w:pPr>
        <w:pStyle w:val="BodyText"/>
        <w:spacing w:before="5"/>
        <w:rPr>
          <w:sz w:val="32"/>
        </w:rPr>
      </w:pPr>
    </w:p>
    <w:p>
      <w:pPr>
        <w:pStyle w:val="BodyText"/>
        <w:ind w:left="118" w:right="316"/>
      </w:pPr>
      <w:r>
        <w:rPr/>
        <w:t>Mit dem Aufstellungsbeschluss vom 19.09.2019 wurden umfangreiche Anforderungen der Gemeinde Kaufungen an die bauliche und inhaltliche Umnutzung des Stiftgutes formuliert und beschlossen, die - soweit sie im Plan darstellbar sind - in der nun vorliegenden Entwurfsplanung berücksichtigt sind. Der ebenfalls beschlossene Durchführungsvertrag ist noch zu erarbeiten und muss spätestens bis zum Satzungsbeschluss mit dem Vorhabenträger geschlossen sein (§ 10 BauGB).</w:t>
      </w:r>
    </w:p>
    <w:p>
      <w:pPr>
        <w:pStyle w:val="BodyText"/>
        <w:spacing w:before="10"/>
        <w:rPr>
          <w:sz w:val="21"/>
        </w:rPr>
      </w:pPr>
    </w:p>
    <w:p>
      <w:pPr>
        <w:pStyle w:val="Heading1"/>
        <w:rPr>
          <w:u w:val="none"/>
        </w:rPr>
      </w:pPr>
      <w:r>
        <w:rPr>
          <w:u w:val="thick"/>
        </w:rPr>
        <w:t>Finanzielle Auswirkungen:</w:t>
      </w:r>
    </w:p>
    <w:p>
      <w:pPr>
        <w:pStyle w:val="BodyText"/>
        <w:spacing w:before="1"/>
        <w:ind w:left="118" w:right="773"/>
      </w:pPr>
      <w:r>
        <w:rPr/>
        <w:t>Die Übernahme der Planungskosten durch den Vorhabenträger wird angestrebt. Dies ist im Durchführungsvertrag zum vorhabenbezogenen Bebauungsplan festzuhalten.</w:t>
      </w:r>
    </w:p>
    <w:p>
      <w:pPr>
        <w:pStyle w:val="BodyText"/>
        <w:spacing w:before="9"/>
        <w:rPr>
          <w:sz w:val="21"/>
        </w:rPr>
      </w:pPr>
    </w:p>
    <w:p>
      <w:pPr>
        <w:pStyle w:val="Heading1"/>
        <w:rPr>
          <w:u w:val="none"/>
        </w:rPr>
      </w:pPr>
      <w:r>
        <w:rPr>
          <w:u w:val="thick"/>
        </w:rPr>
        <w:t>Demografische Auswirkungen:</w:t>
      </w:r>
    </w:p>
    <w:p>
      <w:pPr>
        <w:pStyle w:val="BodyText"/>
        <w:spacing w:before="4"/>
        <w:ind w:left="118" w:right="319"/>
      </w:pPr>
      <w:r>
        <w:rPr/>
        <w:t>Der vorhabenbezogene Bebauungsplan Nr. 97 „Stiftsgut“ dient der Sicherung einer Nutzungsänderung des Stiftsgutes nach Aufgabe durch den bisherigen Eigentümer. Er sichert denkmalgeschützte Objekte und enthält Bauvorgaben, die der besonderen historischen Situation im Umfeld gerecht werden. Er wird neuer Wohnraum geschaffen, und bestimmte, nicht störende gewerbliche Nutzungen werden zugelassen. Sie dienen der Belebung des Quartiers ebenso wie die fußläufige Durchlässigkeit des Quartiers für die Öffentlichkeit. Öffentlich nutzbare Stellplätze an zwei Standorten dienen der Entlastung der dicht bebauten historischen Altortslage. Ein Teilbereich der Anlage wird weiterhin für kulturelle Nutzungen öffentlich nutzbar sein, z.B. während der</w:t>
      </w:r>
      <w:r>
        <w:rPr>
          <w:spacing w:val="3"/>
        </w:rPr>
        <w:t> </w:t>
      </w:r>
      <w:r>
        <w:rPr/>
        <w:t>Stiftsweihnacht.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tabs>
          <w:tab w:pos="5075" w:val="left" w:leader="none"/>
        </w:tabs>
        <w:spacing w:line="252" w:lineRule="exact" w:before="138"/>
        <w:ind w:left="118"/>
      </w:pPr>
      <w:r>
        <w:rPr/>
        <w:t>gez.</w:t>
        <w:tab/>
        <w:t>gez.</w:t>
      </w:r>
    </w:p>
    <w:p>
      <w:pPr>
        <w:pStyle w:val="BodyText"/>
        <w:tabs>
          <w:tab w:pos="5075" w:val="left" w:leader="none"/>
        </w:tabs>
        <w:spacing w:line="252" w:lineRule="exact"/>
        <w:ind w:left="118"/>
      </w:pPr>
      <w:r>
        <w:rPr/>
        <w:t>Arnim Roß</w:t>
        <w:tab/>
        <w:t>Eva-Grulms-Odoj</w:t>
      </w:r>
    </w:p>
    <w:p>
      <w:pPr>
        <w:pStyle w:val="BodyText"/>
        <w:spacing w:before="1"/>
        <w:ind w:left="118"/>
      </w:pPr>
      <w:r>
        <w:rPr/>
        <w:t>Bürgermeister</w:t>
      </w:r>
    </w:p>
    <w:sectPr>
      <w:pgSz w:w="11910" w:h="16840"/>
      <w:pgMar w:top="580" w:bottom="280" w:left="13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4" w:hanging="706"/>
        <w:jc w:val="left"/>
      </w:pPr>
      <w:rPr>
        <w:rFonts w:hint="default" w:ascii="Arial" w:hAnsi="Arial" w:eastAsia="Arial" w:cs="Arial"/>
        <w:w w:val="100"/>
        <w:sz w:val="22"/>
        <w:szCs w:val="22"/>
        <w:lang w:val="de-DE" w:eastAsia="de-DE" w:bidi="de-DE"/>
      </w:rPr>
    </w:lvl>
    <w:lvl w:ilvl="1">
      <w:start w:val="0"/>
      <w:numFmt w:val="bullet"/>
      <w:lvlText w:val="•"/>
      <w:lvlJc w:val="left"/>
      <w:pPr>
        <w:ind w:left="1716" w:hanging="706"/>
      </w:pPr>
      <w:rPr>
        <w:rFonts w:hint="default"/>
        <w:lang w:val="de-DE" w:eastAsia="de-DE" w:bidi="de-DE"/>
      </w:rPr>
    </w:lvl>
    <w:lvl w:ilvl="2">
      <w:start w:val="0"/>
      <w:numFmt w:val="bullet"/>
      <w:lvlText w:val="•"/>
      <w:lvlJc w:val="left"/>
      <w:pPr>
        <w:ind w:left="2613" w:hanging="706"/>
      </w:pPr>
      <w:rPr>
        <w:rFonts w:hint="default"/>
        <w:lang w:val="de-DE" w:eastAsia="de-DE" w:bidi="de-DE"/>
      </w:rPr>
    </w:lvl>
    <w:lvl w:ilvl="3">
      <w:start w:val="0"/>
      <w:numFmt w:val="bullet"/>
      <w:lvlText w:val="•"/>
      <w:lvlJc w:val="left"/>
      <w:pPr>
        <w:ind w:left="3509" w:hanging="706"/>
      </w:pPr>
      <w:rPr>
        <w:rFonts w:hint="default"/>
        <w:lang w:val="de-DE" w:eastAsia="de-DE" w:bidi="de-DE"/>
      </w:rPr>
    </w:lvl>
    <w:lvl w:ilvl="4">
      <w:start w:val="0"/>
      <w:numFmt w:val="bullet"/>
      <w:lvlText w:val="•"/>
      <w:lvlJc w:val="left"/>
      <w:pPr>
        <w:ind w:left="4406" w:hanging="706"/>
      </w:pPr>
      <w:rPr>
        <w:rFonts w:hint="default"/>
        <w:lang w:val="de-DE" w:eastAsia="de-DE" w:bidi="de-DE"/>
      </w:rPr>
    </w:lvl>
    <w:lvl w:ilvl="5">
      <w:start w:val="0"/>
      <w:numFmt w:val="bullet"/>
      <w:lvlText w:val="•"/>
      <w:lvlJc w:val="left"/>
      <w:pPr>
        <w:ind w:left="5303" w:hanging="706"/>
      </w:pPr>
      <w:rPr>
        <w:rFonts w:hint="default"/>
        <w:lang w:val="de-DE" w:eastAsia="de-DE" w:bidi="de-DE"/>
      </w:rPr>
    </w:lvl>
    <w:lvl w:ilvl="6">
      <w:start w:val="0"/>
      <w:numFmt w:val="bullet"/>
      <w:lvlText w:val="•"/>
      <w:lvlJc w:val="left"/>
      <w:pPr>
        <w:ind w:left="6199" w:hanging="706"/>
      </w:pPr>
      <w:rPr>
        <w:rFonts w:hint="default"/>
        <w:lang w:val="de-DE" w:eastAsia="de-DE" w:bidi="de-DE"/>
      </w:rPr>
    </w:lvl>
    <w:lvl w:ilvl="7">
      <w:start w:val="0"/>
      <w:numFmt w:val="bullet"/>
      <w:lvlText w:val="•"/>
      <w:lvlJc w:val="left"/>
      <w:pPr>
        <w:ind w:left="7096" w:hanging="706"/>
      </w:pPr>
      <w:rPr>
        <w:rFonts w:hint="default"/>
        <w:lang w:val="de-DE" w:eastAsia="de-DE" w:bidi="de-DE"/>
      </w:rPr>
    </w:lvl>
    <w:lvl w:ilvl="8">
      <w:start w:val="0"/>
      <w:numFmt w:val="bullet"/>
      <w:lvlText w:val="•"/>
      <w:lvlJc w:val="left"/>
      <w:pPr>
        <w:ind w:left="7993" w:hanging="706"/>
      </w:pPr>
      <w:rPr>
        <w:rFonts w:hint="default"/>
        <w:lang w:val="de-DE" w:eastAsia="de-DE" w:bidi="de-DE"/>
      </w:rPr>
    </w:lvl>
  </w:abstractNum>
  <w:abstractNum w:abstractNumId="0">
    <w:multiLevelType w:val="hybridMultilevel"/>
    <w:lvl w:ilvl="0">
      <w:start w:val="1"/>
      <w:numFmt w:val="lowerLetter"/>
      <w:lvlText w:val="%1)"/>
      <w:lvlJc w:val="left"/>
      <w:pPr>
        <w:ind w:left="118" w:hanging="259"/>
        <w:jc w:val="left"/>
      </w:pPr>
      <w:rPr>
        <w:rFonts w:hint="default" w:ascii="Arial" w:hAnsi="Arial" w:eastAsia="Arial" w:cs="Arial"/>
        <w:w w:val="100"/>
        <w:sz w:val="22"/>
        <w:szCs w:val="22"/>
        <w:lang w:val="de-DE" w:eastAsia="de-DE" w:bidi="de-DE"/>
      </w:rPr>
    </w:lvl>
    <w:lvl w:ilvl="1">
      <w:start w:val="0"/>
      <w:numFmt w:val="bullet"/>
      <w:lvlText w:val="•"/>
      <w:lvlJc w:val="left"/>
      <w:pPr>
        <w:ind w:left="1086" w:hanging="259"/>
      </w:pPr>
      <w:rPr>
        <w:rFonts w:hint="default"/>
        <w:lang w:val="de-DE" w:eastAsia="de-DE" w:bidi="de-DE"/>
      </w:rPr>
    </w:lvl>
    <w:lvl w:ilvl="2">
      <w:start w:val="0"/>
      <w:numFmt w:val="bullet"/>
      <w:lvlText w:val="•"/>
      <w:lvlJc w:val="left"/>
      <w:pPr>
        <w:ind w:left="2053" w:hanging="259"/>
      </w:pPr>
      <w:rPr>
        <w:rFonts w:hint="default"/>
        <w:lang w:val="de-DE" w:eastAsia="de-DE" w:bidi="de-DE"/>
      </w:rPr>
    </w:lvl>
    <w:lvl w:ilvl="3">
      <w:start w:val="0"/>
      <w:numFmt w:val="bullet"/>
      <w:lvlText w:val="•"/>
      <w:lvlJc w:val="left"/>
      <w:pPr>
        <w:ind w:left="3019" w:hanging="259"/>
      </w:pPr>
      <w:rPr>
        <w:rFonts w:hint="default"/>
        <w:lang w:val="de-DE" w:eastAsia="de-DE" w:bidi="de-DE"/>
      </w:rPr>
    </w:lvl>
    <w:lvl w:ilvl="4">
      <w:start w:val="0"/>
      <w:numFmt w:val="bullet"/>
      <w:lvlText w:val="•"/>
      <w:lvlJc w:val="left"/>
      <w:pPr>
        <w:ind w:left="3986" w:hanging="259"/>
      </w:pPr>
      <w:rPr>
        <w:rFonts w:hint="default"/>
        <w:lang w:val="de-DE" w:eastAsia="de-DE" w:bidi="de-DE"/>
      </w:rPr>
    </w:lvl>
    <w:lvl w:ilvl="5">
      <w:start w:val="0"/>
      <w:numFmt w:val="bullet"/>
      <w:lvlText w:val="•"/>
      <w:lvlJc w:val="left"/>
      <w:pPr>
        <w:ind w:left="4953" w:hanging="259"/>
      </w:pPr>
      <w:rPr>
        <w:rFonts w:hint="default"/>
        <w:lang w:val="de-DE" w:eastAsia="de-DE" w:bidi="de-DE"/>
      </w:rPr>
    </w:lvl>
    <w:lvl w:ilvl="6">
      <w:start w:val="0"/>
      <w:numFmt w:val="bullet"/>
      <w:lvlText w:val="•"/>
      <w:lvlJc w:val="left"/>
      <w:pPr>
        <w:ind w:left="5919" w:hanging="259"/>
      </w:pPr>
      <w:rPr>
        <w:rFonts w:hint="default"/>
        <w:lang w:val="de-DE" w:eastAsia="de-DE" w:bidi="de-DE"/>
      </w:rPr>
    </w:lvl>
    <w:lvl w:ilvl="7">
      <w:start w:val="0"/>
      <w:numFmt w:val="bullet"/>
      <w:lvlText w:val="•"/>
      <w:lvlJc w:val="left"/>
      <w:pPr>
        <w:ind w:left="6886" w:hanging="259"/>
      </w:pPr>
      <w:rPr>
        <w:rFonts w:hint="default"/>
        <w:lang w:val="de-DE" w:eastAsia="de-DE" w:bidi="de-DE"/>
      </w:rPr>
    </w:lvl>
    <w:lvl w:ilvl="8">
      <w:start w:val="0"/>
      <w:numFmt w:val="bullet"/>
      <w:lvlText w:val="•"/>
      <w:lvlJc w:val="left"/>
      <w:pPr>
        <w:ind w:left="7853" w:hanging="259"/>
      </w:pPr>
      <w:rPr>
        <w:rFonts w:hint="default"/>
        <w:lang w:val="de-DE" w:eastAsia="de-DE" w:bidi="de-D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2"/>
      <w:szCs w:val="22"/>
      <w:lang w:val="de-DE" w:eastAsia="de-DE" w:bidi="de-DE"/>
    </w:rPr>
  </w:style>
  <w:style w:styleId="Heading1" w:type="paragraph">
    <w:name w:val="Heading 1"/>
    <w:basedOn w:val="Normal"/>
    <w:uiPriority w:val="1"/>
    <w:qFormat/>
    <w:pPr>
      <w:ind w:left="118"/>
      <w:outlineLvl w:val="1"/>
    </w:pPr>
    <w:rPr>
      <w:rFonts w:ascii="Arial" w:hAnsi="Arial" w:eastAsia="Arial" w:cs="Arial"/>
      <w:b/>
      <w:bCs/>
      <w:sz w:val="22"/>
      <w:szCs w:val="22"/>
      <w:u w:val="single" w:color="000000"/>
      <w:lang w:val="de-DE" w:eastAsia="de-DE" w:bidi="de-DE"/>
    </w:rPr>
  </w:style>
  <w:style w:styleId="ListParagraph" w:type="paragraph">
    <w:name w:val="List Paragraph"/>
    <w:basedOn w:val="Normal"/>
    <w:uiPriority w:val="1"/>
    <w:qFormat/>
    <w:pPr>
      <w:ind w:left="118" w:right="308" w:hanging="706"/>
    </w:pPr>
    <w:rPr>
      <w:rFonts w:ascii="Arial" w:hAnsi="Arial" w:eastAsia="Arial" w:cs="Arial"/>
      <w:lang w:val="de-DE" w:eastAsia="de-DE" w:bidi="de-DE"/>
    </w:rPr>
  </w:style>
  <w:style w:styleId="TableParagraph" w:type="paragraph">
    <w:name w:val="Table Paragraph"/>
    <w:basedOn w:val="Normal"/>
    <w:uiPriority w:val="1"/>
    <w:qFormat/>
    <w:pPr/>
    <w:rPr>
      <w:rFonts w:ascii="Arial" w:hAnsi="Arial" w:eastAsia="Arial" w:cs="Arial"/>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Polzhuber</dc:creator>
  <dcterms:created xsi:type="dcterms:W3CDTF">2021-09-21T08:34:56Z</dcterms:created>
  <dcterms:modified xsi:type="dcterms:W3CDTF">2021-09-21T08:34:56Z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2021-09-21T00:00:00Z</vt:filetime>
  </property>
</Properties>
</file>